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2F" w:rsidRDefault="00144B2F" w:rsidP="00144B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93D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762">
        <w:rPr>
          <w:rFonts w:ascii="Times New Roman" w:hAnsi="Times New Roman"/>
          <w:b/>
          <w:sz w:val="32"/>
          <w:szCs w:val="32"/>
        </w:rPr>
        <w:t>ПОСТАНОВЛЕНИЕ</w:t>
      </w:r>
    </w:p>
    <w:p w:rsidR="00711EA0" w:rsidRPr="00F77762" w:rsidRDefault="00711EA0" w:rsidP="00711EA0">
      <w:pPr>
        <w:spacing w:after="0"/>
        <w:rPr>
          <w:rFonts w:ascii="Times New Roman" w:hAnsi="Times New Roman"/>
          <w:b/>
          <w:i/>
        </w:rPr>
      </w:pPr>
    </w:p>
    <w:p w:rsidR="00A441F5" w:rsidRPr="00907E11" w:rsidRDefault="00A441F5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="00907E11"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144B2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_____________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№</w:t>
      </w:r>
      <w:r w:rsidR="00144B2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_____</w:t>
      </w:r>
    </w:p>
    <w:p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 Положения</w:t>
      </w:r>
    </w:p>
    <w:p w:rsidR="00A441F5" w:rsidRDefault="0093394E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административной комиссии</w:t>
      </w: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</w:t>
      </w:r>
      <w:r w:rsidR="0071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71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1F5" w:rsidRPr="0093394E" w:rsidRDefault="00A441F5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</w:t>
      </w:r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соответствии с Законом Калужской области от 04 июля 2002 года № 133-ОЗ «О создании административных комиссий», Уставом 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</w:t>
      </w:r>
      <w:r w:rsidR="00711EA0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Кудиново</w:t>
      </w:r>
      <w:proofErr w:type="spellEnd"/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69DA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9DA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  сельского поселения «</w:t>
      </w:r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1D69DA" w:rsidRPr="0093394E" w:rsidRDefault="001D69DA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B85EB8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69DA" w:rsidRPr="0093394E" w:rsidRDefault="001D69DA" w:rsidP="0093394E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1D69DA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="00E65DA4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административной комиссии сельского поселения «</w:t>
      </w:r>
      <w:r w:rsidR="00711EA0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E65DA4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№1).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«Село </w:t>
      </w:r>
      <w:proofErr w:type="spellStart"/>
      <w:r w:rsidRPr="001754CD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1754CD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(обнародования). 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4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54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1754CD" w:rsidRPr="001754CD" w:rsidRDefault="001754CD" w:rsidP="001754C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7F58A1" w:rsidRPr="001754CD" w:rsidRDefault="007F58A1" w:rsidP="0093394E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DA4" w:rsidRPr="0093394E" w:rsidRDefault="00E65DA4" w:rsidP="0093394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9339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proofErr w:type="gramStart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Село </w:t>
      </w:r>
      <w:proofErr w:type="spellStart"/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Кудиново</w:t>
      </w:r>
      <w:proofErr w:type="spellEnd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Д.Н. Старцев</w:t>
      </w: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1687" w:rsidRPr="0093394E" w:rsidRDefault="00A0464A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76C82" w:rsidRPr="009339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7E11" w:rsidRPr="0093394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C599B" w:rsidRPr="0093394E">
        <w:rPr>
          <w:rFonts w:ascii="Times New Roman" w:hAnsi="Times New Roman" w:cs="Times New Roman"/>
          <w:sz w:val="26"/>
          <w:szCs w:val="26"/>
        </w:rPr>
        <w:t>№</w:t>
      </w:r>
      <w:r w:rsidR="00907E11" w:rsidRPr="0093394E">
        <w:rPr>
          <w:rFonts w:ascii="Times New Roman" w:hAnsi="Times New Roman" w:cs="Times New Roman"/>
          <w:sz w:val="26"/>
          <w:szCs w:val="26"/>
        </w:rPr>
        <w:t>1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687" w:rsidRPr="0093394E" w:rsidRDefault="00176C82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к </w:t>
      </w:r>
      <w:r w:rsidR="0093394E">
        <w:rPr>
          <w:rFonts w:ascii="Times New Roman" w:hAnsi="Times New Roman" w:cs="Times New Roman"/>
          <w:sz w:val="26"/>
          <w:szCs w:val="26"/>
        </w:rPr>
        <w:t>П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176C82" w:rsidRDefault="00A21687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   </w:t>
      </w:r>
      <w:r w:rsidR="006E72CC" w:rsidRPr="0093394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>сельского поселения "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93394E">
        <w:rPr>
          <w:rFonts w:ascii="Times New Roman" w:hAnsi="Times New Roman" w:cs="Times New Roman"/>
          <w:sz w:val="26"/>
          <w:szCs w:val="26"/>
        </w:rPr>
        <w:t>»</w:t>
      </w:r>
    </w:p>
    <w:p w:rsidR="00177EB2" w:rsidRPr="0093394E" w:rsidRDefault="00177EB2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44B2F">
        <w:rPr>
          <w:rFonts w:ascii="Times New Roman" w:hAnsi="Times New Roman" w:cs="Times New Roman"/>
          <w:sz w:val="26"/>
          <w:szCs w:val="26"/>
        </w:rPr>
        <w:t>_____________   № ___</w:t>
      </w:r>
    </w:p>
    <w:p w:rsidR="00176C82" w:rsidRPr="0093394E" w:rsidRDefault="00176C82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C82" w:rsidRPr="0093394E" w:rsidRDefault="0030465C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0465C" w:rsidRPr="0093394E" w:rsidRDefault="0093394E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 xml:space="preserve">Об административной комиссии  сельского поселения </w:t>
      </w:r>
      <w:r w:rsidR="00176C82" w:rsidRPr="0093394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11EA0" w:rsidRPr="0093394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="00176C82" w:rsidRPr="0093394E">
        <w:rPr>
          <w:rFonts w:ascii="Times New Roman" w:hAnsi="Times New Roman" w:cs="Times New Roman"/>
          <w:b/>
          <w:sz w:val="26"/>
          <w:szCs w:val="26"/>
        </w:rPr>
        <w:t>»</w:t>
      </w:r>
    </w:p>
    <w:p w:rsidR="0093394E" w:rsidRPr="0093394E" w:rsidRDefault="0093394E" w:rsidP="009339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65C" w:rsidRPr="0093394E" w:rsidRDefault="0030465C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76C82" w:rsidRPr="0093394E" w:rsidRDefault="008B17CA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ab/>
      </w:r>
      <w:r w:rsidR="0030465C" w:rsidRPr="0093394E">
        <w:rPr>
          <w:rFonts w:ascii="Times New Roman" w:hAnsi="Times New Roman" w:cs="Times New Roman"/>
          <w:sz w:val="26"/>
          <w:szCs w:val="26"/>
        </w:rPr>
        <w:t>1.1. Административная комиссия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30465C" w:rsidRPr="0093394E">
        <w:rPr>
          <w:rFonts w:ascii="Times New Roman" w:hAnsi="Times New Roman" w:cs="Times New Roman"/>
          <w:sz w:val="26"/>
          <w:szCs w:val="26"/>
        </w:rPr>
        <w:t>»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176C82" w:rsidRPr="0093394E" w:rsidRDefault="00176C82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</w:t>
      </w:r>
      <w:r w:rsidR="0030465C" w:rsidRPr="0093394E">
        <w:rPr>
          <w:rFonts w:ascii="Times New Roman" w:hAnsi="Times New Roman" w:cs="Times New Roman"/>
          <w:sz w:val="26"/>
          <w:szCs w:val="26"/>
        </w:rPr>
        <w:t xml:space="preserve">.2. Административная комиссия формируется в соответствии с Законом Калужской области от 4 июля 2002 N 133-ОЗ "О создании административных комиссий". Срок полномочий Административной комиссии установлен статьей 8 вышеуказанного Закона. 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1.3. Организационно-методическое руководство Административной комиссией осуществляется администрацией (исполнительно-распорядительным органом)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:rsidR="00176C82" w:rsidRPr="0093394E" w:rsidRDefault="0030465C" w:rsidP="0093394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2. Задачи и функции Административной комиссии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176C82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2.2. Административная комиссия в соответствии с возложенными задачами: 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 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 - выявляет и устраняет причины и условия, способствующие совершению административных правонарушений. </w:t>
      </w:r>
    </w:p>
    <w:p w:rsidR="00C91B37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lastRenderedPageBreak/>
        <w:t>3. Подведомственность дел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176C82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4. Порядок формирования и состав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4.1. Административная комиссия формируется исполнительно</w:t>
      </w:r>
      <w:r w:rsidR="006A093D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>- распорядительным органом муниципального района «</w:t>
      </w:r>
      <w:r w:rsidR="006E72CC" w:rsidRPr="0093394E">
        <w:rPr>
          <w:rFonts w:ascii="Times New Roman" w:hAnsi="Times New Roman" w:cs="Times New Roman"/>
          <w:sz w:val="26"/>
          <w:szCs w:val="26"/>
        </w:rPr>
        <w:t>Малоярославецкий</w:t>
      </w:r>
      <w:r w:rsidRPr="0093394E">
        <w:rPr>
          <w:rFonts w:ascii="Times New Roman" w:hAnsi="Times New Roman" w:cs="Times New Roman"/>
          <w:sz w:val="26"/>
          <w:szCs w:val="26"/>
        </w:rPr>
        <w:t xml:space="preserve"> район» Калужской области из представителей органов местного самоуправления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>», правоохранительных органов, организаций, общественных объединений, осуществляющих свою деятельность на территории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>», в количестве 5-13 членов комиссии. 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 В состав Административной комиссии могут входить совершеннолетние дееспособные граждане Российской Федерации, не имеющие судимости. В состав Административной комиссии, как правило, должен входить гражданин Российской Федерации, имеющий высшее юридическое образование. Предложения по численному и персональному составу Административной комиссии вносятся администрацией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 xml:space="preserve">» в течение одного месяца в соответствии со ст. 6.1 Закона Калужской области от 04.07.2002 N 133-ОЗ "О создании административных комиссий".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4.2. Председатель, заместитель председателя, ответственный секретарь Административной комиссии утверждаются органом местного самоуправления муниципального образования сельского поселения из числа членов комиссии, сформированной органом местного самоуправления муниципального образования муниципального района.</w:t>
      </w:r>
    </w:p>
    <w:p w:rsidR="00181B5F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4.3. Члены Административной комиссии осуществляют свою деятельность на общественных началах.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4.4. Внесение изменений в численный и персональный состав Административной комиссии осуществляется в соответствии со ст. 6.1 Закона Калужской области от 04.07.2002 N 133-ОЗ "О создании административных комиссий".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lastRenderedPageBreak/>
        <w:t>5. Права членов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Члены Административной комиссии, в том числе председатель, заместитель председателя и ответственный секретарь, вправе: 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 - ставить вопрос об отложении рассмотрения дела и об истребовании дополнительных материалов по нему; - участвовать в заседаниях Административной комиссии; - задавать вопросы лицам, участвующим в производстве по делу об административном правонарушении;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участвовать в исследовании письменных и вещественных доказательств по делу; - участвовать в обсуждении принимаемых решений; - участвовать в голосовании при принятии решений; 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 - составлять по поручению председательствующего протокол заседания в случае отсутствия ответственного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секретаря.</w:t>
      </w:r>
    </w:p>
    <w:p w:rsidR="00181B5F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6. Права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Административная комиссия имеет право: - истребовать сведения, необходимые для разрешения дел; - вызывать лиц, которым могут быть известны обстоятельства дела, подлежащие установлению; - принимать меры обеспечения производства по делам об административных правонарушениях; 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 - осуществлять иные действия в соответствии с законодательством.</w:t>
      </w:r>
      <w:proofErr w:type="gramEnd"/>
    </w:p>
    <w:p w:rsidR="00907E11" w:rsidRPr="0093394E" w:rsidRDefault="0030465C" w:rsidP="009339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6.2. К лицу, совершившему административное правонарушение, Административная комиссия может применить одно из следующих административных наказаний: - предупреждение; - административный штраф. 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области от 28.02.2011 N 122-ОЗ "Об административных правонарушениях в Калужской области". </w:t>
      </w:r>
    </w:p>
    <w:p w:rsidR="00907E11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7. Порядок производства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lastRenderedPageBreak/>
        <w:t>8. Регламент работы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8.4. Председатель Административной комиссии: - организует работу комиссии; - проводит заседания комиссии; - осуществляет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дел об административных правонарушениях, установленных действующим законодательством; - контролирует своевременность и полноту поступления сумм налагаемых штрафов за административные правонарушения; - выполняет иные полномочия, предусмотренные действующим законодательством.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8.5. Делопроизводство в Административной комиссии организуется ответственным секретарем.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 - уведомляет лиц, участвующих в деле об административном правонарушении, о времени и месте его рассмотрения;- составляет протокол о рассмотрении дела об административном правонарушении; - оформляет постановления по делам об административном правонарушении; - уведомляет лиц, участвующих в деле, о принятом Административной комиссией решении; 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выполняет иные действия по документационному обеспечению деятельности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8.7. Решение по рассматриваемому Административной комиссией делу об административном правонарушении считается принятым, если за него </w:t>
      </w: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проголосовало более половины от числа членов комиссии, присутствующих на заседании.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8.8. В соответствии со статьей 10 Закона Калужской области от 4 июля 2002 N 133-ОЗ "О создании административных комиссий" 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9. Порядок и сроки рассмотрения дела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9.2. Административная комиссия рассматривает дело на открытом заседании. </w:t>
      </w:r>
    </w:p>
    <w:p w:rsidR="008B17CA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 </w:t>
      </w:r>
    </w:p>
    <w:p w:rsidR="00A21687" w:rsidRPr="0093394E" w:rsidRDefault="0030465C" w:rsidP="0093394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9.6.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10. Назначение административного наказания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10.1.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11. Порядок обжалования постановлений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вручения или получения копии постановления.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12. Порядок исполнения постановления по делу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 </w:t>
      </w:r>
    </w:p>
    <w:p w:rsidR="0030465C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12.3. Сумма штрафа, наложенного Административной комиссией, подлежит зачислению в бюджет муниципального </w:t>
      </w:r>
      <w:r w:rsidR="001A547B">
        <w:rPr>
          <w:rFonts w:ascii="Times New Roman" w:hAnsi="Times New Roman" w:cs="Times New Roman"/>
          <w:sz w:val="26"/>
          <w:szCs w:val="26"/>
        </w:rPr>
        <w:t>образования сельского поселения «Село Кудиново»</w:t>
      </w:r>
      <w:r w:rsidRPr="0093394E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статьей 46 Бюджетного кодекса РФ.</w:t>
      </w:r>
    </w:p>
    <w:sectPr w:rsidR="0030465C" w:rsidRPr="0093394E" w:rsidSect="007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02"/>
    <w:rsid w:val="00055C55"/>
    <w:rsid w:val="00144B2F"/>
    <w:rsid w:val="001754CD"/>
    <w:rsid w:val="00176C82"/>
    <w:rsid w:val="00177EB2"/>
    <w:rsid w:val="00181B5F"/>
    <w:rsid w:val="001A547B"/>
    <w:rsid w:val="001D69DA"/>
    <w:rsid w:val="001E76FB"/>
    <w:rsid w:val="00232F06"/>
    <w:rsid w:val="002C599B"/>
    <w:rsid w:val="0030465C"/>
    <w:rsid w:val="004005AD"/>
    <w:rsid w:val="00601C20"/>
    <w:rsid w:val="006921EF"/>
    <w:rsid w:val="00694C4B"/>
    <w:rsid w:val="006A093D"/>
    <w:rsid w:val="006E72CC"/>
    <w:rsid w:val="00711EA0"/>
    <w:rsid w:val="00736ACC"/>
    <w:rsid w:val="007944DF"/>
    <w:rsid w:val="007F58A1"/>
    <w:rsid w:val="008B17CA"/>
    <w:rsid w:val="00907E11"/>
    <w:rsid w:val="0093394E"/>
    <w:rsid w:val="009A2002"/>
    <w:rsid w:val="00A0464A"/>
    <w:rsid w:val="00A21687"/>
    <w:rsid w:val="00A441F5"/>
    <w:rsid w:val="00A81F11"/>
    <w:rsid w:val="00B22E61"/>
    <w:rsid w:val="00B51349"/>
    <w:rsid w:val="00B85EB8"/>
    <w:rsid w:val="00BE4EE9"/>
    <w:rsid w:val="00C32F20"/>
    <w:rsid w:val="00C91B37"/>
    <w:rsid w:val="00CC0851"/>
    <w:rsid w:val="00DA508D"/>
    <w:rsid w:val="00DC38F3"/>
    <w:rsid w:val="00E65DA4"/>
    <w:rsid w:val="00E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6">
    <w:name w:val="Normal (Web)"/>
    <w:basedOn w:val="a"/>
    <w:uiPriority w:val="99"/>
    <w:rsid w:val="0017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BC12-E70C-4298-A1DD-5C38BA4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3</cp:revision>
  <cp:lastPrinted>2022-06-24T06:45:00Z</cp:lastPrinted>
  <dcterms:created xsi:type="dcterms:W3CDTF">2022-06-24T09:07:00Z</dcterms:created>
  <dcterms:modified xsi:type="dcterms:W3CDTF">2022-06-24T09:07:00Z</dcterms:modified>
</cp:coreProperties>
</file>